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747" w:hanging="567"/>
        <w:jc w:val="center"/>
        <w:rPr>
          <w:rFonts w:hint="eastAsia"/>
          <w:b/>
          <w:color w:val="000000" w:themeColor="text1"/>
          <w:sz w:val="32"/>
          <w:szCs w:val="22"/>
          <w14:textFill>
            <w14:solidFill>
              <w14:schemeClr w14:val="tx1"/>
            </w14:solidFill>
          </w14:textFill>
        </w:rPr>
      </w:pPr>
      <w:bookmarkStart w:id="0" w:name="_Toc455766221"/>
      <w:r>
        <w:rPr>
          <w:rFonts w:hint="eastAsia"/>
          <w:b/>
          <w:color w:val="000000" w:themeColor="text1"/>
          <w:sz w:val="32"/>
          <w:szCs w:val="22"/>
          <w:lang w:val="en-US" w:eastAsia="zh-CN"/>
          <w14:textFill>
            <w14:solidFill>
              <w14:schemeClr w14:val="tx1"/>
            </w14:solidFill>
          </w14:textFill>
        </w:rPr>
        <w:t>徐医大附三院</w:t>
      </w:r>
      <w:bookmarkStart w:id="1" w:name="_GoBack"/>
      <w:bookmarkEnd w:id="1"/>
      <w:r>
        <w:rPr>
          <w:rFonts w:hint="eastAsia"/>
          <w:b/>
          <w:color w:val="000000" w:themeColor="text1"/>
          <w:sz w:val="32"/>
          <w:szCs w:val="22"/>
          <w14:textFill>
            <w14:solidFill>
              <w14:schemeClr w14:val="tx1"/>
            </w14:solidFill>
          </w14:textFill>
        </w:rPr>
        <w:t>信息化机房设备维保总体要求</w:t>
      </w:r>
      <w:bookmarkEnd w:id="0"/>
    </w:p>
    <w:p>
      <w:pPr>
        <w:jc w:val="center"/>
        <w:rPr>
          <w:rFonts w:hint="default" w:eastAsia="宋体"/>
          <w:lang w:val="en-US" w:eastAsia="zh-CN"/>
        </w:rPr>
      </w:pPr>
      <w:r>
        <w:rPr>
          <w:rFonts w:hint="eastAsia"/>
          <w:b/>
          <w:color w:val="000000" w:themeColor="text1"/>
          <w:lang w:val="en-US" w:eastAsia="zh-CN"/>
          <w14:textFill>
            <w14:solidFill>
              <w14:schemeClr w14:val="tx1"/>
            </w14:solidFill>
          </w14:textFill>
        </w:rPr>
        <w:t>2023.07</w:t>
      </w:r>
    </w:p>
    <w:p>
      <w:pPr>
        <w:pStyle w:val="14"/>
        <w:numPr>
          <w:ilvl w:val="0"/>
          <w:numId w:val="2"/>
        </w:numPr>
        <w:tabs>
          <w:tab w:val="left" w:pos="630"/>
        </w:tabs>
        <w:spacing w:line="300" w:lineRule="auto"/>
        <w:ind w:right="136" w:rightChars="65" w:firstLineChars="0"/>
        <w:outlineLvl w:val="1"/>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项目简要说明</w:t>
      </w:r>
    </w:p>
    <w:p>
      <w:pPr>
        <w:pStyle w:val="14"/>
        <w:widowControl/>
        <w:ind w:firstLine="449" w:firstLineChars="214"/>
        <w:jc w:val="left"/>
        <w:rPr>
          <w:rFonts w:asciiTheme="minorHAnsi" w:hAnsiTheme="minorHAnsi" w:eastAsiaTheme="minorEastAsia" w:cstheme="minorBidi"/>
          <w:color w:val="000000" w:themeColor="text1"/>
          <w14:textFill>
            <w14:solidFill>
              <w14:schemeClr w14:val="tx1"/>
            </w14:solidFill>
          </w14:textFill>
        </w:rPr>
      </w:pPr>
      <w:r>
        <w:rPr>
          <w:rFonts w:hint="eastAsia" w:asciiTheme="minorHAnsi" w:hAnsiTheme="minorHAnsi" w:eastAsiaTheme="minorEastAsia" w:cstheme="minorBidi"/>
          <w:color w:val="000000" w:themeColor="text1"/>
          <w14:textFill>
            <w14:solidFill>
              <w14:schemeClr w14:val="tx1"/>
            </w14:solidFill>
          </w14:textFill>
        </w:rPr>
        <w:t>为保障信息系统的安全可靠运行，本项目拟就</w:t>
      </w:r>
      <w:r>
        <w:rPr>
          <w:rFonts w:hint="eastAsia" w:asciiTheme="minorHAnsi" w:hAnsiTheme="minorHAnsi" w:eastAsiaTheme="minorEastAsia" w:cstheme="minorBidi"/>
          <w:color w:val="000000" w:themeColor="text1"/>
          <w:lang w:val="en-US" w:eastAsia="zh-CN"/>
          <w14:textFill>
            <w14:solidFill>
              <w14:schemeClr w14:val="tx1"/>
            </w14:solidFill>
          </w14:textFill>
        </w:rPr>
        <w:t>信息</w:t>
      </w:r>
      <w:r>
        <w:rPr>
          <w:rFonts w:hint="eastAsia" w:asciiTheme="minorHAnsi" w:hAnsiTheme="minorHAnsi" w:eastAsiaTheme="minorEastAsia" w:cstheme="minorBidi"/>
          <w:color w:val="000000" w:themeColor="text1"/>
          <w14:textFill>
            <w14:solidFill>
              <w14:schemeClr w14:val="tx1"/>
            </w14:solidFill>
          </w14:textFill>
        </w:rPr>
        <w:t>中心 IT 产品购买维保运维服务，涉及的核心产品（服务器、存储系统、网络交换系统、安全设备等）硬件及有关软件的维护、网络综合布线故障解决服务，预算金额为12万元。</w:t>
      </w:r>
    </w:p>
    <w:p>
      <w:pPr>
        <w:pStyle w:val="14"/>
        <w:numPr>
          <w:ilvl w:val="0"/>
          <w:numId w:val="2"/>
        </w:numPr>
        <w:ind w:firstLineChars="0"/>
        <w:outlineLvl w:val="1"/>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bCs/>
          <w:color w:val="000000" w:themeColor="text1"/>
          <w:szCs w:val="21"/>
          <w14:textFill>
            <w14:solidFill>
              <w14:schemeClr w14:val="tx1"/>
            </w14:solidFill>
          </w14:textFill>
        </w:rPr>
        <w:t>项目清单</w:t>
      </w:r>
    </w:p>
    <w:p>
      <w:pPr>
        <w:pStyle w:val="14"/>
        <w:numPr>
          <w:ilvl w:val="0"/>
          <w:numId w:val="3"/>
        </w:numPr>
        <w:ind w:left="420" w:firstLineChars="0"/>
        <w:jc w:val="left"/>
        <w:outlineLvl w:val="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IT 产品维保服务范围清单</w:t>
      </w:r>
    </w:p>
    <w:p>
      <w:pPr>
        <w:pStyle w:val="14"/>
        <w:ind w:firstLine="0" w:firstLineChars="0"/>
        <w:jc w:val="left"/>
        <w:outlineLvl w:val="0"/>
        <w:rPr>
          <w:rFonts w:ascii="微软雅黑" w:hAnsi="微软雅黑" w:eastAsia="微软雅黑"/>
          <w:b/>
          <w:bCs/>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项目清单一：</w:t>
      </w:r>
    </w:p>
    <w:tbl>
      <w:tblPr>
        <w:tblStyle w:val="9"/>
        <w:tblW w:w="0" w:type="auto"/>
        <w:tblInd w:w="93" w:type="dxa"/>
        <w:tblLayout w:type="autofit"/>
        <w:tblCellMar>
          <w:top w:w="0" w:type="dxa"/>
          <w:left w:w="108" w:type="dxa"/>
          <w:bottom w:w="0" w:type="dxa"/>
          <w:right w:w="108" w:type="dxa"/>
        </w:tblCellMar>
      </w:tblPr>
      <w:tblGrid>
        <w:gridCol w:w="462"/>
        <w:gridCol w:w="1204"/>
        <w:gridCol w:w="1794"/>
        <w:gridCol w:w="1824"/>
        <w:gridCol w:w="833"/>
        <w:gridCol w:w="463"/>
        <w:gridCol w:w="1849"/>
      </w:tblGrid>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设备类型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厂家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备注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冷池机柜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EA6242B-E1-P01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易事特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动环监控系统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动环监控系统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EAJ-1046A/3D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易事特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12V 100A电池16节</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模块化UPS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EA66200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EA66200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易事特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免维护铅酸蓄电池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ups电池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NP100-12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易事特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风冷式行间空调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精密空调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ER025-HAA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易事特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 SecPath F1000-AK145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堆叠冗余</w:t>
            </w: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 S7510E-X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堆叠冗余</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汇聚交换机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 S5560X-30F-EI L3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2台堆叠冗余</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 LS-5130S-28P-EI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R4900 G3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vmware虚拟化平台使用</w:t>
            </w: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R740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DELL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R240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DELL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前置机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R640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DELL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光纤交换机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SN3000B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HPE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CF8820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r>
              <w:rPr>
                <w:rFonts w:hint="eastAsia" w:ascii="等线" w:hAnsi="等线" w:eastAsia="等线" w:cs="等线"/>
                <w:color w:val="000000"/>
                <w:sz w:val="18"/>
                <w:szCs w:val="18"/>
              </w:rPr>
              <w:t>包含</w:t>
            </w:r>
            <w:r>
              <w:rPr>
                <w:rFonts w:ascii="等线" w:hAnsi="等线" w:eastAsia="等线" w:cs="等线"/>
                <w:color w:val="000000"/>
                <w:sz w:val="18"/>
                <w:szCs w:val="18"/>
              </w:rPr>
              <w:t>22</w:t>
            </w:r>
            <w:r>
              <w:rPr>
                <w:rFonts w:hint="eastAsia" w:ascii="等线" w:hAnsi="等线" w:eastAsia="等线" w:cs="等线"/>
                <w:color w:val="000000"/>
                <w:sz w:val="18"/>
                <w:szCs w:val="18"/>
              </w:rPr>
              <w:t>块1</w:t>
            </w:r>
            <w:r>
              <w:rPr>
                <w:rFonts w:ascii="等线" w:hAnsi="等线" w:eastAsia="等线" w:cs="等线"/>
                <w:color w:val="000000"/>
                <w:sz w:val="18"/>
                <w:szCs w:val="18"/>
              </w:rPr>
              <w:t>.2T 10K SAS</w:t>
            </w:r>
            <w:r>
              <w:rPr>
                <w:rFonts w:hint="eastAsia" w:ascii="等线" w:hAnsi="等线" w:eastAsia="等线" w:cs="等线"/>
                <w:color w:val="000000"/>
                <w:sz w:val="18"/>
                <w:szCs w:val="18"/>
              </w:rPr>
              <w:t>硬盘</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CF8840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等线" w:hAnsi="等线" w:eastAsia="等线" w:cs="等线"/>
                <w:color w:val="000000"/>
                <w:sz w:val="18"/>
                <w:szCs w:val="18"/>
              </w:rPr>
            </w:pPr>
            <w:r>
              <w:rPr>
                <w:rFonts w:hint="eastAsia" w:ascii="等线" w:hAnsi="等线" w:eastAsia="等线" w:cs="等线"/>
                <w:color w:val="000000"/>
                <w:sz w:val="18"/>
                <w:szCs w:val="18"/>
              </w:rPr>
              <w:t>包含</w:t>
            </w:r>
            <w:r>
              <w:rPr>
                <w:rFonts w:ascii="等线" w:hAnsi="等线" w:eastAsia="等线" w:cs="等线"/>
                <w:color w:val="000000"/>
                <w:sz w:val="18"/>
                <w:szCs w:val="18"/>
              </w:rPr>
              <w:t>22</w:t>
            </w:r>
            <w:r>
              <w:rPr>
                <w:rFonts w:hint="eastAsia" w:ascii="等线" w:hAnsi="等线" w:eastAsia="等线" w:cs="等线"/>
                <w:color w:val="000000"/>
                <w:sz w:val="18"/>
                <w:szCs w:val="18"/>
              </w:rPr>
              <w:t>块1</w:t>
            </w:r>
            <w:r>
              <w:rPr>
                <w:rFonts w:ascii="等线" w:hAnsi="等线" w:eastAsia="等线" w:cs="等线"/>
                <w:color w:val="000000"/>
                <w:sz w:val="18"/>
                <w:szCs w:val="18"/>
              </w:rPr>
              <w:t>.8T 10K SAS</w:t>
            </w:r>
            <w:r>
              <w:rPr>
                <w:rFonts w:hint="eastAsia" w:ascii="等线" w:hAnsi="等线" w:eastAsia="等线" w:cs="等线"/>
                <w:color w:val="000000"/>
                <w:sz w:val="18"/>
                <w:szCs w:val="18"/>
              </w:rPr>
              <w:t>硬盘</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存储扩展柜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24槽位硬盘柜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CF8800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包含12块1.8TB </w:t>
            </w:r>
            <w:r>
              <w:rPr>
                <w:rFonts w:ascii="等线" w:hAnsi="等线" w:eastAsia="等线" w:cs="等线"/>
                <w:color w:val="000000"/>
                <w:sz w:val="18"/>
                <w:szCs w:val="18"/>
              </w:rPr>
              <w:t>10K SAS</w:t>
            </w:r>
            <w:r>
              <w:rPr>
                <w:rFonts w:hint="eastAsia" w:ascii="等线" w:hAnsi="等线" w:eastAsia="等线" w:cs="等线"/>
                <w:color w:val="000000"/>
                <w:sz w:val="18"/>
                <w:szCs w:val="18"/>
              </w:rPr>
              <w:t>硬盘</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日志分析管理系统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sz w:val="18"/>
                <w:szCs w:val="18"/>
              </w:rPr>
              <w:t>SIP-L</w:t>
            </w:r>
            <w:r>
              <w:rPr>
                <w:rFonts w:hint="eastAsia" w:ascii="等线" w:hAnsi="等线" w:eastAsia="等线" w:cs="等线"/>
                <w:color w:val="000000"/>
                <w:sz w:val="18"/>
                <w:szCs w:val="18"/>
              </w:rPr>
              <w:t>ogger</w:t>
            </w:r>
            <w:r>
              <w:rPr>
                <w:rFonts w:ascii="等线" w:hAnsi="等线" w:eastAsia="等线" w:cs="等线"/>
                <w:color w:val="000000"/>
                <w:sz w:val="18"/>
                <w:szCs w:val="18"/>
              </w:rPr>
              <w:t xml:space="preserve"> </w:t>
            </w:r>
            <w:r>
              <w:rPr>
                <w:rFonts w:hint="eastAsia" w:ascii="等线" w:hAnsi="等线" w:eastAsia="等线" w:cs="等线"/>
                <w:color w:val="000000"/>
                <w:sz w:val="18"/>
                <w:szCs w:val="18"/>
              </w:rPr>
              <w:t>A</w:t>
            </w:r>
            <w:r>
              <w:rPr>
                <w:rFonts w:ascii="等线" w:hAnsi="等线" w:eastAsia="等线" w:cs="等线"/>
                <w:color w:val="000000"/>
                <w:sz w:val="18"/>
                <w:szCs w:val="18"/>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超融合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超融合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aServer-R-2105P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光纤交换机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aRS6300-24X-LI-12X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LS-7503E-M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接入交换机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5130S-52P-EI-H1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数据备份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数据备份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E6010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爱数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FerryWayV2.0-S1200D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金电网安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数据库审计系统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V6.0 DA-1100-U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启明星辰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日志收集与分析系统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V5.0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入侵检测系统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NT3000-HD-C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启明星辰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运维管控平台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RG-RIIL6.0-BMC-WIN-Sta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锐捷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数据库防火墙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AAS-DBSG1000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昂楷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堡垒机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TOS V2.0 S100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金电网安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AF-2000-B2132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上网行为管理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深信服AC-1000-A400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核心交换机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LS-7530E-M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超融合交换机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Ars6300-24X-LI-12X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超融合一体机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aServer-R-2205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WEP应用防护系统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webway v2.0-TS2060P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金电网安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日志审计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SIP-Logger-A600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安全设备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上网行为管理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AC-1000 B2100Y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深信服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三层交换机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RG-S3760-12SFP/GT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锐捷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连接医科大学校园网用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傻瓜式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TP/D-LINK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不间断电源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CASTLE 3K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山特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12V 100A电池6节</w:t>
            </w: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不间断电源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MP11-6KVA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柏克新能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12V 100A电池6节</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路由器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QUIDWAY 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S2700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华为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NF560D2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浪潮英信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RG－S3760-12SFP/GT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锐捷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Catalyst 2950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Cisco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EMC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服务器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ProLiant DL380G5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DS－9124-K9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Cisco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 LS-5130S-52P-EI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万兆光模块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 xml:space="preserve">H3C SFP-XG-SX-MM850SFP+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 SFP-GE-SX-MM850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千兆光模块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SFP-GE-LX-SM1310-D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万兆光模块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FTLF8529P3BCV－EM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Finisar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万兆光模块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QK724A AFBR-57F5PZ-HP1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HPE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5</w:t>
            </w:r>
            <w:r>
              <w:rPr>
                <w:rFonts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综合布线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综合布线故障解决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内、外网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5</w:t>
            </w:r>
            <w:r>
              <w:rPr>
                <w:rFonts w:ascii="等线" w:hAnsi="等线" w:eastAsia="等线" w:cs="等线"/>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虚拟机软件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虚拟机平台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ascii="等线" w:hAnsi="等线" w:eastAsia="等线" w:cs="等线"/>
                <w:color w:val="000000"/>
                <w:kern w:val="0"/>
                <w:sz w:val="18"/>
                <w:szCs w:val="18"/>
                <w:lang w:bidi="ar"/>
              </w:rPr>
              <w:t>V</w:t>
            </w:r>
            <w:r>
              <w:rPr>
                <w:rFonts w:hint="eastAsia" w:ascii="等线" w:hAnsi="等线" w:eastAsia="等线" w:cs="等线"/>
                <w:color w:val="000000"/>
                <w:kern w:val="0"/>
                <w:sz w:val="18"/>
                <w:szCs w:val="18"/>
                <w:lang w:bidi="ar"/>
              </w:rPr>
              <w:t>sphere</w:t>
            </w:r>
            <w:r>
              <w:rPr>
                <w:rFonts w:ascii="等线" w:hAnsi="等线" w:eastAsia="等线" w:cs="等线"/>
                <w:color w:val="000000"/>
                <w:kern w:val="0"/>
                <w:sz w:val="18"/>
                <w:szCs w:val="18"/>
                <w:lang w:bidi="ar"/>
              </w:rPr>
              <w:t xml:space="preserve"> 6.5</w:t>
            </w:r>
            <w:r>
              <w:rPr>
                <w:rFonts w:hint="eastAsia" w:ascii="等线" w:hAnsi="等线" w:eastAsia="等线" w:cs="等线"/>
                <w:color w:val="000000"/>
                <w:kern w:val="0"/>
                <w:sz w:val="18"/>
                <w:szCs w:val="18"/>
                <w:lang w:bidi="ar"/>
              </w:rPr>
              <w:t>版本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V</w:t>
            </w:r>
            <w:r>
              <w:rPr>
                <w:rFonts w:ascii="等线" w:hAnsi="等线" w:eastAsia="等线" w:cs="等线"/>
                <w:color w:val="000000"/>
                <w:kern w:val="0"/>
                <w:sz w:val="18"/>
                <w:szCs w:val="18"/>
                <w:lang w:bidi="ar"/>
              </w:rPr>
              <w:t>m</w:t>
            </w:r>
            <w:r>
              <w:rPr>
                <w:rFonts w:hint="eastAsia" w:ascii="等线" w:hAnsi="等线" w:eastAsia="等线" w:cs="等线"/>
                <w:color w:val="000000"/>
                <w:kern w:val="0"/>
                <w:sz w:val="18"/>
                <w:szCs w:val="18"/>
                <w:lang w:bidi="ar"/>
              </w:rPr>
              <w:t>ware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5</w:t>
            </w:r>
            <w:r>
              <w:rPr>
                <w:rFonts w:ascii="等线" w:hAnsi="等线" w:eastAsia="等线" w:cs="等线"/>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消防灭火系统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柜式七氟丙</w:t>
            </w:r>
            <w:r>
              <w:rPr>
                <w:rFonts w:ascii="Arial" w:hAnsi="Arial" w:cs="Arial"/>
                <w:color w:val="333333"/>
                <w:sz w:val="20"/>
                <w:szCs w:val="20"/>
                <w:shd w:val="clear" w:color="auto" w:fill="FFFFFF"/>
              </w:rPr>
              <w:t>烷</w:t>
            </w:r>
            <w:r>
              <w:rPr>
                <w:rFonts w:hint="eastAsia" w:ascii="Arial" w:hAnsi="Arial" w:cs="Arial"/>
                <w:color w:val="333333"/>
                <w:sz w:val="20"/>
                <w:szCs w:val="20"/>
                <w:shd w:val="clear" w:color="auto" w:fill="FFFFFF"/>
              </w:rPr>
              <w:t>气体灭火装置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G</w:t>
            </w:r>
            <w:r>
              <w:rPr>
                <w:rFonts w:ascii="等线" w:hAnsi="等线" w:eastAsia="等线" w:cs="等线"/>
                <w:color w:val="000000"/>
                <w:kern w:val="0"/>
                <w:sz w:val="18"/>
                <w:szCs w:val="18"/>
                <w:lang w:bidi="ar"/>
              </w:rPr>
              <w:t>QQ 120/2.5-ZTQ-I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北京正天齐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bl>
    <w:p/>
    <w:p>
      <w:pPr>
        <w:pStyle w:val="14"/>
        <w:numPr>
          <w:ilvl w:val="0"/>
          <w:numId w:val="2"/>
        </w:numPr>
        <w:ind w:firstLineChars="0"/>
        <w:outlineLvl w:val="1"/>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维保项目服务总体要求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中标供应商须向用户提供数据中心维保软硬件产品的 36个月的质保维护及技术支持服务，以保证用户单位信息系统的正常、稳定运行。总体服务要求如下：</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 7*24故障排除与损坏件更换；</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 7*24服务热线及远程热线技术支持；</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3、提供维保服务和维保档案记录；</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4、提供各种技术咨询与培训服务；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5、定期对关键设备巡检；</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6、提供维保硬件清单列表中所有产品的涉及到的软硬件的故障诊断、部件更换及现场维修、故障解决以及新业务产生或者业务变更所需的设备调试服务, 维护期内对所有维护设备的故障件均给予免费替换和安装服务，并确保所有替换备件均为原厂家生产并经过乙方严格的原机检验测试, 以保证备件的性能和质量；</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7、控制软件免费技术服务，采购人要求进行不涉及系统结构性修改升级（含特征库升级），成交供应商应向采购人免费提供系统软件升级和技术支持。</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8、协助用户完成设备搬迁、系统新建与迁移服务；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9、在系统维护的服务中，中标商需要提供的基本报告包括但不限于：</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 、设备的巡检与运行状态报告；</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 、历史故障记录与相关解决方案；</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 、操作报告（硬件配置变化等）；</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 、设备故障的详细报表报告；</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 、设备的统计报表报告；</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 、通过定期和不定期的设备巡检，可预防故障的发生，并可及时解决故障。对设备进行清理，检查确认业务接入标识，确保设备整洁、标识正确、布线合理。</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10、要求提供7*24小时服务，故障响应时间要求如下：</w:t>
      </w:r>
    </w:p>
    <w:tbl>
      <w:tblPr>
        <w:tblStyle w:val="10"/>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97"/>
        <w:gridCol w:w="1698"/>
        <w:gridCol w:w="1698"/>
        <w:gridCol w:w="1698"/>
        <w:gridCol w:w="17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807" w:type="dxa"/>
            <w:shd w:val="clear" w:color="auto" w:fill="A5A5A5" w:themeFill="background1" w:themeFillShade="A6"/>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故障级别</w:t>
            </w:r>
          </w:p>
        </w:tc>
        <w:tc>
          <w:tcPr>
            <w:tcW w:w="1808" w:type="dxa"/>
            <w:shd w:val="clear" w:color="auto" w:fill="A5A5A5" w:themeFill="background1" w:themeFillShade="A6"/>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电话反应时间</w:t>
            </w:r>
          </w:p>
        </w:tc>
        <w:tc>
          <w:tcPr>
            <w:tcW w:w="1808" w:type="dxa"/>
            <w:shd w:val="clear" w:color="auto" w:fill="A5A5A5" w:themeFill="background1" w:themeFillShade="A6"/>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问题提交前时间</w:t>
            </w:r>
          </w:p>
        </w:tc>
        <w:tc>
          <w:tcPr>
            <w:tcW w:w="1808" w:type="dxa"/>
            <w:shd w:val="clear" w:color="auto" w:fill="A5A5A5" w:themeFill="background1" w:themeFillShade="A6"/>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恢复系统目标</w:t>
            </w:r>
          </w:p>
        </w:tc>
        <w:tc>
          <w:tcPr>
            <w:tcW w:w="1808" w:type="dxa"/>
            <w:shd w:val="clear" w:color="auto" w:fill="A5A5A5" w:themeFill="background1" w:themeFillShade="A6"/>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解决问题目标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8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严重硬件故障</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5分钟</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立即提交</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1小时</w:t>
            </w:r>
          </w:p>
        </w:tc>
        <w:tc>
          <w:tcPr>
            <w:tcW w:w="1808"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8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严重故障</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10分钟</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立即提交</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2小时</w:t>
            </w:r>
          </w:p>
        </w:tc>
        <w:tc>
          <w:tcPr>
            <w:tcW w:w="1808"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2小时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8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一般故障</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10分钟</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立即提交</w:t>
            </w:r>
          </w:p>
        </w:tc>
        <w:tc>
          <w:tcPr>
            <w:tcW w:w="1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12小时</w:t>
            </w:r>
          </w:p>
        </w:tc>
        <w:tc>
          <w:tcPr>
            <w:tcW w:w="1808" w:type="dxa"/>
            <w:vAlign w:val="center"/>
          </w:tcPr>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24小时</w:t>
            </w:r>
          </w:p>
        </w:tc>
      </w:tr>
    </w:tbl>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反应时间是从用户技术人员首次以电话、传真或电子邮件方式申报故障到公司技术人员与用户沟通，开始解决问题的时间间隔。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问题提交前时间是本地技术支持工程师必须研究解决问题的时间，从用户申报故障开始计算。如本地工程师在此时间间隔内不能解决问题，则必须向上一级技术支持提交。</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恢复系统时间目标即从用户技术人员申报影响业务或功能的严重故障开始至本地工程师向用户技术人员提出可接受的解决方案恢复系统的时间间隔。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解决问题时间目标即向用户技术人员提供满意的解决方案，使问题得到解决的时间段。从本地工程师初次与用户技术人员联系开始到问题解决为止。</w:t>
      </w:r>
    </w:p>
    <w:p>
      <w:pPr>
        <w:rPr>
          <w:color w:val="000000" w:themeColor="text1"/>
          <w:u w:val="single"/>
          <w14:textFill>
            <w14:solidFill>
              <w14:schemeClr w14:val="tx1"/>
            </w14:solidFill>
          </w14:textFill>
        </w:rPr>
      </w:pPr>
    </w:p>
    <w:p>
      <w:pPr>
        <w:pStyle w:val="14"/>
        <w:numPr>
          <w:ilvl w:val="0"/>
          <w:numId w:val="2"/>
        </w:numPr>
        <w:ind w:firstLineChars="0"/>
        <w:outlineLvl w:val="1"/>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项目维保服务具体要求</w:t>
      </w:r>
    </w:p>
    <w:p>
      <w:pPr>
        <w:pStyle w:val="14"/>
        <w:numPr>
          <w:ilvl w:val="0"/>
          <w:numId w:val="4"/>
        </w:numPr>
        <w:ind w:left="0" w:firstLine="0" w:firstLineChars="0"/>
        <w:jc w:val="left"/>
        <w:outlineLvl w:val="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技术要求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1、电话支持服务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维护方设立 7*24 的值班响应电话，并安排有经验的工程师接受报障。当设备或软件出现故障时，客户通过维护方指定的值班响应电话进行报障。当维护方需要检阅相关资料再对问题进行回复时，根据故障级别服务要求进行回复与故障处理安排。</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2、远程支持服务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于通过电话指导不能解决的故障，如果客户设备或软件具备提供远程技术支援的能力，维护方在征得客户同意后，通过远程接入手段，登录到故障设备或软件，进行故障诊断，查找故障出现的原因，指导现场维护方员处理故障。</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具体要求：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服务人员登录到故障设备或软件，通过诊断，分析故障产生的原因，制定故障解决方案后，应电话通知客户，待技术方案经批准（此时间不包含在承诺的服务等级时间内）后，才能进行故障解决方案的具体实施，处置结束后应向客户提供完整的故障处理报告文档。</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3、现场技术服务</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中标供应商应安排一名技术服务人员，每周不低于三天的驻院服务，对于通过电话支持和远程支持都不能解决的设备或软件故障，维护方应迅速提供现场支持服务，安排经验丰富的技术支持工程师赴现场分析故障原因，制定故障解决方案，并最终排除故障。</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具体要求：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维护方服务人员在进行现场支持服务前应做好以下准备：查阅客户设备相关档案，了解用户设备或软件运行情况及设备或软件以往所发生过的问题及处理办法；</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准备技术服务工具、技术服务资料、交通工具、必要的备板备件及软件。</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维护方服务人员抵达现场，首先提交《技术服务申请》给用户负责签字确认。</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了解设备或软件的运行情况，核实故障现象，并根据故障现象对设备或软件进行故障分析、测试、诊断，并制定业务恢复和故障解决技术方案。维护方须保证优先实施业务恢复，在恢复业务的前提下，再进行彻底故障修复。</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如果确定为设备配件故障，维护方需免费提供设备配件进行更换。如果是设备配套的系统或专业软件故障，维护方需免费修复此类软件故障；无法修复的情况下，维护方需免费提供重新安装服务保证使用恢复正常。若发生故障的软件是院方向第三方软件供应商采购的医疗健康类专业软件，且软件供应商提出需要硬件维护方协助处理的，维护方需在院方相关人员的协调下，配合第三方软件供应商一道处理，直至故障排除。</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服务人员在处理故障时不能影响到其他设备或软件的正常运行，在必须进行系统重装或系统启动等较大操作时，需经用户维护主管部门批准方可实施。若因维护方服务人员误操作或擅自行事等主观原因带来损失的，院方有权向维护方提出索赔。</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维护方服务人员在处理故障后，要向院方维护负责人解释故障原因和解决方法，以及在日常维护中的预防措施。</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维护方服务人员在处理故障时，要认真填写《故障处理报告》，并在离开现场前交客户主管部门存档，同时加入维护方的用户故障处理数据库。</w:t>
      </w:r>
    </w:p>
    <w:p>
      <w:pPr>
        <w:pStyle w:val="14"/>
        <w:numPr>
          <w:ilvl w:val="0"/>
          <w:numId w:val="4"/>
        </w:numPr>
        <w:ind w:firstLineChars="0"/>
        <w:outlineLvl w:val="1"/>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技术巡检服务要求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1、服务描述</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维护方为院方此次在维护保修服务范围内的设备和软件进行定期的现场检查，及时发现运行中存在的隐患，通过系统调整等手段，减少系统发生故障的概率，保证系统稳定、高效运行。</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2、服务要求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维护方每</w:t>
      </w:r>
      <w:r>
        <w:rPr>
          <w:rFonts w:hint="eastAsia"/>
          <w:b/>
          <w:i/>
          <w:color w:val="000000" w:themeColor="text1"/>
          <w:u w:val="single"/>
          <w14:textFill>
            <w14:solidFill>
              <w14:schemeClr w14:val="tx1"/>
            </w14:solidFill>
          </w14:textFill>
        </w:rPr>
        <w:t>季度</w:t>
      </w:r>
      <w:r>
        <w:rPr>
          <w:rFonts w:hint="eastAsia"/>
          <w:color w:val="000000" w:themeColor="text1"/>
          <w14:textFill>
            <w14:solidFill>
              <w14:schemeClr w14:val="tx1"/>
            </w14:solidFill>
          </w14:textFill>
        </w:rPr>
        <w:t>提供</w:t>
      </w:r>
      <w:r>
        <w:rPr>
          <w:rFonts w:hint="eastAsia"/>
          <w:b/>
          <w:i/>
          <w:color w:val="000000" w:themeColor="text1"/>
          <w:u w:val="single"/>
          <w14:textFill>
            <w14:solidFill>
              <w14:schemeClr w14:val="tx1"/>
            </w14:solidFill>
          </w14:textFill>
        </w:rPr>
        <w:t xml:space="preserve"> 1</w:t>
      </w:r>
      <w:r>
        <w:rPr>
          <w:rFonts w:hint="eastAsia"/>
          <w:color w:val="000000" w:themeColor="text1"/>
          <w14:textFill>
            <w14:solidFill>
              <w14:schemeClr w14:val="tx1"/>
            </w14:solidFill>
          </w14:textFill>
        </w:rPr>
        <w:t>次现场巡检服务，对院方的硬件环境及相关系统进行细致全面监视和检查，检查的内容包括机房环境检查，包括温度、湿度、电源情况等，检查硬件设备和外围设备运行情况，系统备份，检查系统硬件指示灯情况，硬件检测诊断，检查系统错误报告（Error Log）以及其他的记录文件，网络设置检测，对系统存在的漏洞能及时提出并协助技术人员完善，针对检查结果提供报告，客户要求的其他一般技术支持，必要时做设备除尘。</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完成现场设备和软件巡检后需提交巡检记录表。维护方需为院方建立系统维修档案，并根据系统运行情况向其提供设备和软件的升级、改造、更换的建议和方案。在系统巡检过程中维护方需根据分局需要对院方工程师进行现场培训。</w:t>
      </w:r>
    </w:p>
    <w:p>
      <w:pPr>
        <w:pStyle w:val="14"/>
        <w:numPr>
          <w:ilvl w:val="0"/>
          <w:numId w:val="4"/>
        </w:numPr>
        <w:ind w:firstLineChars="0"/>
        <w:outlineLvl w:val="1"/>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辅助故障定位服务要求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1、服务描述</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当故障涉及多方设备和软件时，无法进行准确故障定位情况下，维护方需提供技术支持，并随时按照院方的要求，及时配合院方、第三方医疗健康专业软件提供商进行准确的故障定位，直至故障解决，不得以任何理由推诿。</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2、服务说明</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辅助故障定位服务技术支持的手段包括但不限于：电话技术支持服务，远程支持、现场服务。</w:t>
      </w:r>
    </w:p>
    <w:p>
      <w:pPr>
        <w:pStyle w:val="14"/>
        <w:numPr>
          <w:ilvl w:val="0"/>
          <w:numId w:val="4"/>
        </w:numPr>
        <w:ind w:firstLineChars="0"/>
        <w:rPr>
          <w:color w:val="000000" w:themeColor="text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备件库服务要求</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★1、服务描述</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维护方需在我院有一套备件。配件清单如下：</w:t>
      </w:r>
    </w:p>
    <w:p>
      <w:pPr>
        <w:ind w:firstLine="420" w:firstLineChars="200"/>
        <w:rPr>
          <w:color w:val="000000" w:themeColor="text1"/>
          <w14:textFill>
            <w14:solidFill>
              <w14:schemeClr w14:val="tx1"/>
            </w14:solidFill>
          </w14:textFill>
        </w:rPr>
      </w:pPr>
    </w:p>
    <w:tbl>
      <w:tblPr>
        <w:tblStyle w:val="9"/>
        <w:tblW w:w="0" w:type="auto"/>
        <w:tblInd w:w="93" w:type="dxa"/>
        <w:tblLayout w:type="autofit"/>
        <w:tblCellMar>
          <w:top w:w="0" w:type="dxa"/>
          <w:left w:w="108" w:type="dxa"/>
          <w:bottom w:w="0" w:type="dxa"/>
          <w:right w:w="108" w:type="dxa"/>
        </w:tblCellMar>
      </w:tblPr>
      <w:tblGrid>
        <w:gridCol w:w="576"/>
        <w:gridCol w:w="936"/>
        <w:gridCol w:w="1116"/>
        <w:gridCol w:w="2339"/>
        <w:gridCol w:w="598"/>
        <w:gridCol w:w="576"/>
        <w:gridCol w:w="396"/>
      </w:tblGrid>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设备类型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设备名称</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型号</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厂家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数量</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b/>
                <w:bCs/>
                <w:color w:val="000000"/>
                <w:sz w:val="18"/>
                <w:szCs w:val="18"/>
              </w:rPr>
            </w:pPr>
            <w:r>
              <w:rPr>
                <w:rFonts w:hint="eastAsia" w:ascii="等线" w:hAnsi="等线" w:eastAsia="等线" w:cs="等线"/>
                <w:b/>
                <w:bCs/>
                <w:color w:val="000000"/>
                <w:kern w:val="0"/>
                <w:sz w:val="18"/>
                <w:szCs w:val="18"/>
                <w:lang w:bidi="ar"/>
              </w:rPr>
              <w:t>备注</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接入交换机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 5130S-52P-EI-H1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网络设备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接入交换机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5130S-28P-EI</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1</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硬盘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服务器硬盘</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 R4900G3服务器硬盘</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DELL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存储硬盘</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CF8820</w:t>
            </w:r>
            <w:r>
              <w:rPr>
                <w:rFonts w:ascii="等线" w:hAnsi="等线" w:eastAsia="等线" w:cs="等线"/>
                <w:color w:val="000000"/>
                <w:kern w:val="0"/>
                <w:sz w:val="18"/>
                <w:szCs w:val="18"/>
                <w:lang w:bidi="ar"/>
              </w:rPr>
              <w:t xml:space="preserve"> </w:t>
            </w:r>
            <w:r>
              <w:rPr>
                <w:rFonts w:hint="eastAsia" w:ascii="等线" w:hAnsi="等线" w:eastAsia="等线" w:cs="等线"/>
                <w:color w:val="000000"/>
                <w:kern w:val="0"/>
                <w:sz w:val="18"/>
                <w:szCs w:val="18"/>
                <w:lang w:bidi="ar"/>
              </w:rPr>
              <w:t>1.8TB 10K SFF HDD</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ascii="等线" w:hAnsi="等线" w:eastAsia="等线" w:cs="等线"/>
                <w:color w:val="000000"/>
                <w:kern w:val="0"/>
                <w:sz w:val="18"/>
                <w:szCs w:val="18"/>
                <w:lang w:bidi="ar"/>
              </w:rPr>
              <w:t>2</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存储硬盘</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CF8840</w:t>
            </w:r>
            <w:r>
              <w:rPr>
                <w:rFonts w:ascii="等线" w:hAnsi="等线" w:eastAsia="等线" w:cs="等线"/>
                <w:color w:val="000000"/>
                <w:kern w:val="0"/>
                <w:sz w:val="18"/>
                <w:szCs w:val="18"/>
                <w:lang w:bidi="ar"/>
              </w:rPr>
              <w:t xml:space="preserve"> </w:t>
            </w:r>
            <w:r>
              <w:rPr>
                <w:rFonts w:hint="eastAsia" w:ascii="等线" w:hAnsi="等线" w:eastAsia="等线" w:cs="等线"/>
                <w:color w:val="000000"/>
                <w:kern w:val="0"/>
                <w:sz w:val="18"/>
                <w:szCs w:val="18"/>
                <w:lang w:bidi="ar"/>
              </w:rPr>
              <w:t>1.8TB 10K SFF HDD</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1</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光模块</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SFP-XG-SX-MM850SFP+</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4</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sz w:val="18"/>
                <w:szCs w:val="18"/>
              </w:rPr>
              <w:t>光模块</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SFP-GE-SX-MM850</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sz w:val="18"/>
                <w:szCs w:val="18"/>
              </w:rPr>
            </w:pPr>
            <w:r>
              <w:rPr>
                <w:rFonts w:hint="eastAsia" w:ascii="等线" w:hAnsi="等线" w:eastAsia="等线" w:cs="等线"/>
                <w:color w:val="000000"/>
                <w:kern w:val="0"/>
                <w:sz w:val="18"/>
                <w:szCs w:val="18"/>
                <w:lang w:bidi="ar"/>
              </w:rPr>
              <w:t>H3C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等线" w:hAnsi="等线" w:eastAsia="等线" w:cs="等线"/>
                <w:color w:val="000000"/>
                <w:kern w:val="0"/>
                <w:sz w:val="18"/>
                <w:szCs w:val="18"/>
                <w:lang w:bidi="ar"/>
              </w:rPr>
            </w:pPr>
            <w:r>
              <w:rPr>
                <w:rFonts w:hint="eastAsia" w:ascii="等线" w:hAnsi="等线" w:eastAsia="等线" w:cs="等线"/>
                <w:color w:val="000000"/>
                <w:kern w:val="0"/>
                <w:sz w:val="18"/>
                <w:szCs w:val="18"/>
                <w:lang w:bidi="ar"/>
              </w:rPr>
              <w:t>4</w:t>
            </w:r>
          </w:p>
        </w:tc>
        <w:tc>
          <w:tcPr>
            <w:tcW w:w="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sz w:val="18"/>
                <w:szCs w:val="18"/>
              </w:rPr>
            </w:pPr>
          </w:p>
        </w:tc>
      </w:tr>
    </w:tbl>
    <w:p>
      <w:pPr>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在遇到紧急故障，设备维修时间超过 48 小时的情况下，维护方需提供替代设备，保证原业务系统正常运行，等故障设备修理完成后及时更换。要求：所有备件为原厂备件；保证使用全新备件。</w:t>
      </w:r>
    </w:p>
    <w:p>
      <w:pPr>
        <w:pStyle w:val="14"/>
        <w:numPr>
          <w:ilvl w:val="0"/>
          <w:numId w:val="4"/>
        </w:numPr>
        <w:ind w:firstLineChars="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系统改造、 调优设计及实施服务要求</w:t>
      </w:r>
    </w:p>
    <w:p>
      <w:pPr>
        <w:tabs>
          <w:tab w:val="left" w:pos="1335"/>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1、服务描述</w:t>
      </w:r>
    </w:p>
    <w:p>
      <w:pPr>
        <w:tabs>
          <w:tab w:val="left" w:pos="1335"/>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随着业务的不断发展、改造及业务系统处理能力需求的不断提高，现有的平台可能会不能满足工作需求，需进行系统改造或调优，对平台设备和软件进行重新部署以满足医院需求。</w:t>
      </w:r>
    </w:p>
    <w:p>
      <w:pPr>
        <w:tabs>
          <w:tab w:val="left" w:pos="1335"/>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2、服务要求</w:t>
      </w:r>
    </w:p>
    <w:p>
      <w:pPr>
        <w:tabs>
          <w:tab w:val="left" w:pos="1335"/>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维护方在与院方工程师一起沟通系统扩容和改造需求的前提下，确定系统改造和优化的范围和目标，设计并提供调整优化方案，以保证业务的可用及优化。双方需共同讨论以完成系统改造和调优方案的设计。</w:t>
      </w:r>
    </w:p>
    <w:p>
      <w:pPr>
        <w:tabs>
          <w:tab w:val="left" w:pos="1335"/>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系统改造和优化方案设计完成后，双方应共同参与，完成方案的测试预演，以确保其是否满足设定的恢复目标和系统的安全稳定。</w:t>
      </w:r>
    </w:p>
    <w:p>
      <w:pPr>
        <w:tabs>
          <w:tab w:val="left" w:pos="1335"/>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涉及到第三方医疗健康软件供应商的系统改造、调整的，维护方应免费予以配合，做好硬件保障工作。</w:t>
      </w:r>
    </w:p>
    <w:p>
      <w:pPr>
        <w:tabs>
          <w:tab w:val="left" w:pos="1335"/>
        </w:tabs>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维护方应负责对院方工程师进行系统改造及调优方案操作培训，以确保需要时可以立即启动，并保证实施过程中，系统的安全稳定。</w:t>
      </w:r>
      <w:r>
        <w:rPr>
          <w:color w:val="000000" w:themeColor="text1"/>
          <w14:textFill>
            <w14:solidFill>
              <w14:schemeClr w14:val="tx1"/>
            </w14:solidFill>
          </w14:textFill>
        </w:rPr>
        <w:tab/>
      </w:r>
    </w:p>
    <w:p>
      <w:pPr>
        <w:pStyle w:val="14"/>
        <w:numPr>
          <w:ilvl w:val="0"/>
          <w:numId w:val="4"/>
        </w:numPr>
        <w:ind w:firstLineChars="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技术培训服务要求</w:t>
      </w:r>
    </w:p>
    <w:p>
      <w:pPr>
        <w:tabs>
          <w:tab w:val="left" w:pos="1335"/>
        </w:tabs>
        <w:ind w:firstLine="420" w:firstLineChars="20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中标方需提供院方工程师相关原厂技术或原厂授权代理培训机构面授培训服务，要求在每年服务期内提供2次信息化相关的技术培训；费用包含培训、考试、车旅、食宿等费用。</w:t>
      </w:r>
    </w:p>
    <w:p>
      <w:pPr>
        <w:pStyle w:val="14"/>
        <w:numPr>
          <w:ilvl w:val="0"/>
          <w:numId w:val="2"/>
        </w:numPr>
        <w:ind w:firstLineChars="0"/>
        <w:rPr>
          <w:rFonts w:ascii="微软雅黑" w:hAnsi="微软雅黑" w:eastAsia="微软雅黑"/>
          <w:b/>
          <w:color w:val="000000" w:themeColor="text1"/>
          <w:szCs w:val="21"/>
          <w14:textFill>
            <w14:solidFill>
              <w14:schemeClr w14:val="tx1"/>
            </w14:solidFill>
          </w14:textFill>
        </w:rPr>
      </w:pPr>
      <w:r>
        <w:rPr>
          <w:rFonts w:hint="eastAsia" w:ascii="微软雅黑" w:hAnsi="微软雅黑" w:eastAsia="微软雅黑"/>
          <w:b/>
          <w:color w:val="000000" w:themeColor="text1"/>
          <w:szCs w:val="21"/>
          <w14:textFill>
            <w14:solidFill>
              <w14:schemeClr w14:val="tx1"/>
            </w14:solidFill>
          </w14:textFill>
        </w:rPr>
        <w:t>其他说明</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1、项目维保服务期限：3年。</w:t>
      </w:r>
    </w:p>
    <w:p>
      <w:pPr>
        <w:ind w:firstLine="420" w:firstLineChars="20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2、特别说明：合同执行有效期满一年后，根据中标商的服务质量以及服务评价，招标方有权选择是否终止合同。</w:t>
      </w:r>
      <w:r>
        <w:rPr>
          <w:rFonts w:hint="eastAsia"/>
          <w:color w:val="000000" w:themeColor="text1"/>
          <w:lang w:val="en-US" w:eastAsia="zh-CN"/>
          <w14:textFill>
            <w14:solidFill>
              <w14:schemeClr w14:val="tx1"/>
            </w14:solidFill>
          </w14:textFill>
        </w:rPr>
        <w:t>合同一年一签。</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设备维保不仅限于维保期内出现的设备或软件故障问题，维保期前出现的设备故障及软件问题，中标商必须及时响应处理维修。维保期内出现设备故障以及招标方反馈的技术问题，即使维保期结束，中标商也必须处理解决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425"/>
        </w:tabs>
        <w:ind w:left="425" w:hanging="425"/>
      </w:pPr>
    </w:lvl>
    <w:lvl w:ilvl="1" w:tentative="0">
      <w:start w:val="1"/>
      <w:numFmt w:val="decimal"/>
      <w:pStyle w:val="2"/>
      <w:lvlText w:val="%1.%2."/>
      <w:lvlJc w:val="left"/>
      <w:pPr>
        <w:tabs>
          <w:tab w:val="left" w:pos="747"/>
        </w:tabs>
        <w:ind w:left="747" w:hanging="567"/>
      </w:pPr>
    </w:lvl>
    <w:lvl w:ilvl="2" w:tentative="0">
      <w:start w:val="1"/>
      <w:numFmt w:val="decimal"/>
      <w:lvlText w:val="%1.%2.%3."/>
      <w:lvlJc w:val="left"/>
      <w:pPr>
        <w:tabs>
          <w:tab w:val="left" w:pos="1429"/>
        </w:tabs>
        <w:ind w:left="142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C0807CE"/>
    <w:multiLevelType w:val="multilevel"/>
    <w:tmpl w:val="1C0807CE"/>
    <w:lvl w:ilvl="0" w:tentative="0">
      <w:start w:val="1"/>
      <w:numFmt w:val="decimal"/>
      <w:lvlText w:val="%1."/>
      <w:lvlJc w:val="left"/>
      <w:pPr>
        <w:ind w:left="420" w:hanging="420"/>
      </w:pPr>
      <w:rPr>
        <w:rFonts w:ascii="微软雅黑" w:hAnsi="微软雅黑" w:eastAsia="微软雅黑"/>
        <w:b/>
      </w:rPr>
    </w:lvl>
    <w:lvl w:ilvl="1" w:tentative="0">
      <w:start w:val="1"/>
      <w:numFmt w:val="decimal"/>
      <w:lvlText w:val="2.%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0720DE"/>
    <w:multiLevelType w:val="multilevel"/>
    <w:tmpl w:val="560720DE"/>
    <w:lvl w:ilvl="0" w:tentative="0">
      <w:start w:val="1"/>
      <w:numFmt w:val="decimal"/>
      <w:lvlText w:val="2.%1"/>
      <w:lvlJc w:val="left"/>
      <w:pPr>
        <w:ind w:left="510" w:hanging="420"/>
      </w:pPr>
      <w:rPr>
        <w:rFonts w:hint="eastAsia"/>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3">
    <w:nsid w:val="784667EC"/>
    <w:multiLevelType w:val="multilevel"/>
    <w:tmpl w:val="784667EC"/>
    <w:lvl w:ilvl="0" w:tentative="0">
      <w:start w:val="1"/>
      <w:numFmt w:val="decimal"/>
      <w:lvlText w:val="4.%1"/>
      <w:lvlJc w:val="left"/>
      <w:pPr>
        <w:ind w:left="420" w:hanging="420"/>
      </w:pPr>
      <w:rPr>
        <w:rFonts w:hint="eastAsia" w:ascii="微软雅黑" w:hAnsi="微软雅黑" w:eastAsia="微软雅黑"/>
        <w:b/>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VlMGRkNzM3ZTQyZWMxZTdjZmI4OWVmZjgyYzkifQ=="/>
  </w:docVars>
  <w:rsids>
    <w:rsidRoot w:val="190F637A"/>
    <w:rsid w:val="000139A2"/>
    <w:rsid w:val="0001455A"/>
    <w:rsid w:val="00041969"/>
    <w:rsid w:val="000B0FEF"/>
    <w:rsid w:val="000B498E"/>
    <w:rsid w:val="000B72E4"/>
    <w:rsid w:val="001828D1"/>
    <w:rsid w:val="001F5569"/>
    <w:rsid w:val="00212088"/>
    <w:rsid w:val="00297471"/>
    <w:rsid w:val="00331E81"/>
    <w:rsid w:val="0033408A"/>
    <w:rsid w:val="00375859"/>
    <w:rsid w:val="00375AC6"/>
    <w:rsid w:val="003A2ABE"/>
    <w:rsid w:val="003C409A"/>
    <w:rsid w:val="00424899"/>
    <w:rsid w:val="00427607"/>
    <w:rsid w:val="00491751"/>
    <w:rsid w:val="004B2CF9"/>
    <w:rsid w:val="00535BF8"/>
    <w:rsid w:val="00567D43"/>
    <w:rsid w:val="00597606"/>
    <w:rsid w:val="005B7191"/>
    <w:rsid w:val="005D002A"/>
    <w:rsid w:val="005F2463"/>
    <w:rsid w:val="006362AD"/>
    <w:rsid w:val="006559FB"/>
    <w:rsid w:val="006A41BB"/>
    <w:rsid w:val="006D1F3E"/>
    <w:rsid w:val="00711ABE"/>
    <w:rsid w:val="00742F7D"/>
    <w:rsid w:val="007B36D4"/>
    <w:rsid w:val="007D6C1C"/>
    <w:rsid w:val="007F1995"/>
    <w:rsid w:val="008A3415"/>
    <w:rsid w:val="00904381"/>
    <w:rsid w:val="00914272"/>
    <w:rsid w:val="00915A72"/>
    <w:rsid w:val="009341CB"/>
    <w:rsid w:val="00946364"/>
    <w:rsid w:val="009652D3"/>
    <w:rsid w:val="009D54DE"/>
    <w:rsid w:val="009F643B"/>
    <w:rsid w:val="00A35B2F"/>
    <w:rsid w:val="00A47CA7"/>
    <w:rsid w:val="00C20FD4"/>
    <w:rsid w:val="00C5272B"/>
    <w:rsid w:val="00CF6919"/>
    <w:rsid w:val="00D11A7E"/>
    <w:rsid w:val="00D33986"/>
    <w:rsid w:val="00E22246"/>
    <w:rsid w:val="00E3015F"/>
    <w:rsid w:val="00E522E1"/>
    <w:rsid w:val="00F20CFC"/>
    <w:rsid w:val="012A73D1"/>
    <w:rsid w:val="10311D1B"/>
    <w:rsid w:val="120E15DC"/>
    <w:rsid w:val="15022E76"/>
    <w:rsid w:val="18663CF3"/>
    <w:rsid w:val="190F637A"/>
    <w:rsid w:val="23FF3DF5"/>
    <w:rsid w:val="32A12944"/>
    <w:rsid w:val="34D74A74"/>
    <w:rsid w:val="53893296"/>
    <w:rsid w:val="7D68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sz w:val="24"/>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7"/>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uiPriority w:val="0"/>
    <w:pPr>
      <w:tabs>
        <w:tab w:val="center" w:pos="4153"/>
        <w:tab w:val="right" w:pos="8306"/>
      </w:tabs>
      <w:snapToGrid w:val="0"/>
      <w:jc w:val="center"/>
    </w:pPr>
    <w:rPr>
      <w:sz w:val="18"/>
      <w:szCs w:val="18"/>
    </w:rPr>
  </w:style>
  <w:style w:type="paragraph" w:styleId="7">
    <w:name w:val="Normal (Web)"/>
    <w:basedOn w:val="1"/>
    <w:qFormat/>
    <w:uiPriority w:val="0"/>
    <w:pPr>
      <w:widowControl/>
      <w:spacing w:line="432" w:lineRule="atLeast"/>
      <w:ind w:firstLine="480"/>
      <w:jc w:val="left"/>
    </w:pPr>
    <w:rPr>
      <w:rFonts w:ascii="宋体" w:hAnsi="宋体" w:cs="宋体"/>
      <w:color w:val="333333"/>
      <w:kern w:val="0"/>
      <w:sz w:val="29"/>
      <w:szCs w:val="29"/>
    </w:rPr>
  </w:style>
  <w:style w:type="paragraph" w:styleId="8">
    <w:name w:val="annotation subject"/>
    <w:basedOn w:val="3"/>
    <w:next w:val="3"/>
    <w:link w:val="16"/>
    <w:uiPriority w:val="0"/>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paragraph" w:styleId="14">
    <w:name w:val="List Paragraph"/>
    <w:basedOn w:val="1"/>
    <w:qFormat/>
    <w:uiPriority w:val="0"/>
    <w:pPr>
      <w:ind w:firstLine="420" w:firstLineChars="200"/>
    </w:pPr>
    <w:rPr>
      <w:rFonts w:ascii="Calibri" w:hAnsi="Calibri"/>
      <w:szCs w:val="22"/>
    </w:rPr>
  </w:style>
  <w:style w:type="character" w:customStyle="1" w:styleId="15">
    <w:name w:val="批注文字 字符"/>
    <w:basedOn w:val="11"/>
    <w:link w:val="3"/>
    <w:qFormat/>
    <w:uiPriority w:val="0"/>
    <w:rPr>
      <w:kern w:val="2"/>
      <w:sz w:val="21"/>
      <w:szCs w:val="24"/>
    </w:rPr>
  </w:style>
  <w:style w:type="character" w:customStyle="1" w:styleId="16">
    <w:name w:val="批注主题 字符"/>
    <w:basedOn w:val="15"/>
    <w:link w:val="8"/>
    <w:uiPriority w:val="0"/>
    <w:rPr>
      <w:b/>
      <w:bCs/>
      <w:kern w:val="2"/>
      <w:sz w:val="21"/>
      <w:szCs w:val="24"/>
    </w:rPr>
  </w:style>
  <w:style w:type="character" w:customStyle="1" w:styleId="17">
    <w:name w:val="批注框文本 字符"/>
    <w:basedOn w:val="11"/>
    <w:link w:val="4"/>
    <w:qFormat/>
    <w:uiPriority w:val="0"/>
    <w:rPr>
      <w:kern w:val="2"/>
      <w:sz w:val="18"/>
      <w:szCs w:val="18"/>
    </w:rPr>
  </w:style>
  <w:style w:type="character" w:customStyle="1" w:styleId="18">
    <w:name w:val="页眉 字符"/>
    <w:basedOn w:val="11"/>
    <w:link w:val="6"/>
    <w:qFormat/>
    <w:uiPriority w:val="0"/>
    <w:rPr>
      <w:kern w:val="2"/>
      <w:sz w:val="18"/>
      <w:szCs w:val="18"/>
    </w:rPr>
  </w:style>
  <w:style w:type="character" w:customStyle="1" w:styleId="19">
    <w:name w:val="页脚 字符"/>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7</Pages>
  <Words>4530</Words>
  <Characters>5479</Characters>
  <Lines>44</Lines>
  <Paragraphs>12</Paragraphs>
  <TotalTime>66</TotalTime>
  <ScaleCrop>false</ScaleCrop>
  <LinksUpToDate>false</LinksUpToDate>
  <CharactersWithSpaces>5544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2023-07-03T01:43:00Z</dcterms:created>
  <dc:creator>Smart Husdad</dc:creator>
  <cp:lastModifiedBy>Z</cp:lastModifiedBy>
  <dcterms:modified xsi:type="dcterms:W3CDTF">2023-07-31T08:39:04Z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D384EF760F924478904B5DF22D4F0097_13</vt:lpwstr>
  </property>
</Properties>
</file>